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CCFCC" w14:textId="77777777" w:rsidR="00414482" w:rsidRDefault="00414482" w:rsidP="00414482">
      <w:pPr>
        <w:pStyle w:val="a8"/>
      </w:pPr>
      <w:bookmarkStart w:id="0" w:name="OLE_LINK5"/>
      <w:bookmarkStart w:id="1" w:name="OLE_LINK6"/>
      <w:r>
        <w:t>F</w:t>
      </w:r>
      <w:r>
        <w:rPr>
          <w:rFonts w:hint="eastAsia"/>
        </w:rPr>
        <w:t>lu</w:t>
      </w:r>
      <w:r>
        <w:t>digm Helios CyTOF</w:t>
      </w:r>
      <w:r>
        <w:rPr>
          <w:rFonts w:hint="eastAsia"/>
        </w:rPr>
        <w:t>质谱流式仪</w:t>
      </w:r>
    </w:p>
    <w:bookmarkEnd w:id="0"/>
    <w:bookmarkEnd w:id="1"/>
    <w:p w14:paraId="449BF1A0" w14:textId="77777777" w:rsidR="0000006E" w:rsidRDefault="0000006E" w:rsidP="002B386B">
      <w:pPr>
        <w:pStyle w:val="1"/>
        <w:numPr>
          <w:ilvl w:val="0"/>
          <w:numId w:val="5"/>
        </w:numPr>
      </w:pPr>
      <w:r>
        <w:rPr>
          <w:rFonts w:hint="eastAsia"/>
        </w:rPr>
        <w:t>仪器简介</w:t>
      </w:r>
    </w:p>
    <w:p w14:paraId="2D916E4D" w14:textId="1419BB5D" w:rsidR="0000006E" w:rsidRPr="00A31706" w:rsidRDefault="0000006E" w:rsidP="002B386B">
      <w:pPr>
        <w:rPr>
          <w:vertAlign w:val="subscript"/>
        </w:rPr>
      </w:pPr>
      <w:r>
        <w:rPr>
          <w:b/>
          <w:bCs/>
          <w:noProof/>
        </w:rPr>
        <w:drawing>
          <wp:anchor distT="0" distB="0" distL="114300" distR="114300" simplePos="0" relativeHeight="251659264" behindDoc="0" locked="0" layoutInCell="1" allowOverlap="1" wp14:anchorId="12BAFAC9" wp14:editId="2A33A40C">
            <wp:simplePos x="0" y="0"/>
            <wp:positionH relativeFrom="margin">
              <wp:align>center</wp:align>
            </wp:positionH>
            <wp:positionV relativeFrom="paragraph">
              <wp:posOffset>1602105</wp:posOffset>
            </wp:positionV>
            <wp:extent cx="1558290" cy="1927860"/>
            <wp:effectExtent l="0" t="0" r="381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8290" cy="1927860"/>
                    </a:xfrm>
                    <a:prstGeom prst="rect">
                      <a:avLst/>
                    </a:prstGeom>
                  </pic:spPr>
                </pic:pic>
              </a:graphicData>
            </a:graphic>
          </wp:anchor>
        </w:drawing>
      </w:r>
      <w:r>
        <w:rPr>
          <w:rFonts w:hint="eastAsia"/>
        </w:rPr>
        <w:t xml:space="preserve"> </w:t>
      </w:r>
      <w:r>
        <w:t xml:space="preserve">  </w:t>
      </w:r>
      <w:r w:rsidR="006307B5" w:rsidRPr="00986CBD">
        <w:rPr>
          <w:rFonts w:hint="eastAsia"/>
        </w:rPr>
        <w:t>此设备基于质谱检测法和流式细胞学原理，</w:t>
      </w:r>
      <w:r w:rsidR="006307B5">
        <w:rPr>
          <w:rFonts w:hint="eastAsia"/>
        </w:rPr>
        <w:t>通过带有不同金属同位素标记抗体对细胞进行“染色”，最终通过质谱检测对应金属标记种类和强度，完成对单细胞多参数（现可检测多达</w:t>
      </w:r>
      <w:r w:rsidR="006307B5">
        <w:rPr>
          <w:rFonts w:hint="eastAsia"/>
        </w:rPr>
        <w:t>8</w:t>
      </w:r>
      <w:r w:rsidR="006307B5">
        <w:t>1</w:t>
      </w:r>
      <w:r w:rsidR="006307B5">
        <w:rPr>
          <w:rFonts w:hint="eastAsia"/>
        </w:rPr>
        <w:t>种通道）的精准定量检测。在高分辨率分析异质性细胞群体和单细胞蛋白组学具有显著优势。</w:t>
      </w:r>
    </w:p>
    <w:p w14:paraId="3F415E62" w14:textId="77777777" w:rsidR="0000006E" w:rsidRPr="002B386B" w:rsidRDefault="0000006E" w:rsidP="0086591A">
      <w:pPr>
        <w:widowControl/>
        <w:spacing w:line="240" w:lineRule="auto"/>
        <w:jc w:val="left"/>
      </w:pPr>
      <w:r>
        <w:br w:type="page"/>
      </w:r>
    </w:p>
    <w:p w14:paraId="49CEAA58" w14:textId="77777777" w:rsidR="0000006E" w:rsidRDefault="0000006E" w:rsidP="002B386B">
      <w:pPr>
        <w:pStyle w:val="1"/>
        <w:numPr>
          <w:ilvl w:val="0"/>
          <w:numId w:val="5"/>
        </w:numPr>
      </w:pPr>
      <w:r w:rsidRPr="00A12BDE">
        <w:rPr>
          <w:noProof/>
        </w:rPr>
        <w:lastRenderedPageBreak/>
        <w:drawing>
          <wp:anchor distT="0" distB="0" distL="114300" distR="114300" simplePos="0" relativeHeight="251664384" behindDoc="0" locked="0" layoutInCell="1" allowOverlap="1" wp14:anchorId="1A292E96" wp14:editId="38ECFC3F">
            <wp:simplePos x="0" y="0"/>
            <wp:positionH relativeFrom="column">
              <wp:posOffset>200660</wp:posOffset>
            </wp:positionH>
            <wp:positionV relativeFrom="paragraph">
              <wp:posOffset>766987</wp:posOffset>
            </wp:positionV>
            <wp:extent cx="5288280" cy="1597660"/>
            <wp:effectExtent l="0" t="0" r="7620" b="254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88280" cy="1597660"/>
                    </a:xfrm>
                    <a:prstGeom prst="rect">
                      <a:avLst/>
                    </a:prstGeom>
                  </pic:spPr>
                </pic:pic>
              </a:graphicData>
            </a:graphic>
          </wp:anchor>
        </w:drawing>
      </w:r>
      <w:r>
        <w:rPr>
          <w:rFonts w:hint="eastAsia"/>
        </w:rPr>
        <w:t>原理</w:t>
      </w:r>
    </w:p>
    <w:p w14:paraId="1869DC85" w14:textId="77777777" w:rsidR="0000006E" w:rsidRDefault="0000006E" w:rsidP="00295A76">
      <w:pPr>
        <w:ind w:firstLineChars="202" w:firstLine="566"/>
      </w:pPr>
    </w:p>
    <w:p w14:paraId="303D9908" w14:textId="77777777" w:rsidR="0000006E" w:rsidRDefault="0000006E" w:rsidP="00295A76">
      <w:pPr>
        <w:ind w:firstLineChars="202" w:firstLine="566"/>
      </w:pPr>
      <w:r>
        <w:rPr>
          <w:rFonts w:hint="eastAsia"/>
          <w:noProof/>
          <w:lang w:val="zh-CN"/>
        </w:rPr>
        <w:drawing>
          <wp:anchor distT="0" distB="0" distL="114300" distR="114300" simplePos="0" relativeHeight="251663360" behindDoc="0" locked="0" layoutInCell="1" allowOverlap="1" wp14:anchorId="7695C8DC" wp14:editId="6B47A72A">
            <wp:simplePos x="0" y="0"/>
            <wp:positionH relativeFrom="column">
              <wp:posOffset>239186</wp:posOffset>
            </wp:positionH>
            <wp:positionV relativeFrom="paragraph">
              <wp:posOffset>1418572</wp:posOffset>
            </wp:positionV>
            <wp:extent cx="5288280" cy="3352165"/>
            <wp:effectExtent l="0" t="0" r="7620" b="63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5288280" cy="3352165"/>
                    </a:xfrm>
                    <a:prstGeom prst="rect">
                      <a:avLst/>
                    </a:prstGeom>
                  </pic:spPr>
                </pic:pic>
              </a:graphicData>
            </a:graphic>
          </wp:anchor>
        </w:drawing>
      </w:r>
      <w:r>
        <w:rPr>
          <w:rFonts w:hint="eastAsia"/>
        </w:rPr>
        <w:t>在上机前，先通过顺铂和特殊金属标记的抗体对特定浓度的单细胞悬液样品进行染色，以区分细胞存活状态（细胞膜通透性）和标记目标蛋白。之后通过质谱流式仪进行检测对应的金属标记种类和强度，并生成相关数据结果。</w:t>
      </w:r>
    </w:p>
    <w:p w14:paraId="4624A305" w14:textId="77777777" w:rsidR="0000006E" w:rsidRDefault="0000006E" w:rsidP="0086591A"/>
    <w:p w14:paraId="068ECBDD" w14:textId="77777777" w:rsidR="0000006E" w:rsidRDefault="0000006E" w:rsidP="00EF285C">
      <w:pPr>
        <w:ind w:firstLineChars="202" w:firstLine="566"/>
      </w:pPr>
      <w:r w:rsidRPr="00295A76">
        <w:rPr>
          <w:noProof/>
        </w:rPr>
        <w:lastRenderedPageBreak/>
        <w:drawing>
          <wp:anchor distT="0" distB="0" distL="114300" distR="114300" simplePos="0" relativeHeight="251660288" behindDoc="0" locked="0" layoutInCell="1" allowOverlap="1" wp14:anchorId="36E4F137" wp14:editId="0806A7AC">
            <wp:simplePos x="0" y="0"/>
            <wp:positionH relativeFrom="margin">
              <wp:align>center</wp:align>
            </wp:positionH>
            <wp:positionV relativeFrom="paragraph">
              <wp:posOffset>1423914</wp:posOffset>
            </wp:positionV>
            <wp:extent cx="5045075" cy="1323340"/>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14" t="4759" r="2772" b="5692"/>
                    <a:stretch/>
                  </pic:blipFill>
                  <pic:spPr bwMode="auto">
                    <a:xfrm>
                      <a:off x="0" y="0"/>
                      <a:ext cx="5045075"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在仪器内大致原理为通过雾化喷嘴（</w:t>
      </w:r>
      <w:r>
        <w:rPr>
          <w:rFonts w:hint="eastAsia"/>
        </w:rPr>
        <w:t>N</w:t>
      </w:r>
      <w:r>
        <w:t>ebulizer</w:t>
      </w:r>
      <w:r>
        <w:rPr>
          <w:rFonts w:hint="eastAsia"/>
        </w:rPr>
        <w:t>）喷出含有单细胞的微液滴与氩气，由蒸发汽化装置（</w:t>
      </w:r>
      <w:r>
        <w:rPr>
          <w:rFonts w:hint="eastAsia"/>
        </w:rPr>
        <w:t>H</w:t>
      </w:r>
      <w:r>
        <w:t xml:space="preserve">eated </w:t>
      </w:r>
      <w:r>
        <w:rPr>
          <w:rFonts w:hint="eastAsia"/>
        </w:rPr>
        <w:t>Spra</w:t>
      </w:r>
      <w:r>
        <w:t>y Chamber</w:t>
      </w:r>
      <w:r>
        <w:rPr>
          <w:rFonts w:hint="eastAsia"/>
        </w:rPr>
        <w:t>）送入离子火炬（</w:t>
      </w:r>
      <w:r>
        <w:rPr>
          <w:rFonts w:hint="eastAsia"/>
        </w:rPr>
        <w:t>I</w:t>
      </w:r>
      <w:r>
        <w:t>CP Torch</w:t>
      </w:r>
      <w:r>
        <w:rPr>
          <w:rFonts w:hint="eastAsia"/>
        </w:rPr>
        <w:t>）中实现等离子化（</w:t>
      </w:r>
      <w:r>
        <w:rPr>
          <w:rFonts w:hint="eastAsia"/>
        </w:rPr>
        <w:t>In</w:t>
      </w:r>
      <w:r>
        <w:t>ductively Coupled Plasma</w:t>
      </w:r>
      <w:r>
        <w:rPr>
          <w:rFonts w:hint="eastAsia"/>
        </w:rPr>
        <w:t>，</w:t>
      </w:r>
      <w:r>
        <w:rPr>
          <w:rFonts w:hint="eastAsia"/>
        </w:rPr>
        <w:t>I</w:t>
      </w:r>
      <w:r>
        <w:t>CP</w:t>
      </w:r>
      <w:r>
        <w:rPr>
          <w:rFonts w:hint="eastAsia"/>
        </w:rPr>
        <w:t>），细胞内所有分子在此过程中历经气化、原子化和离子化。</w:t>
      </w:r>
    </w:p>
    <w:p w14:paraId="2F2F96FB" w14:textId="77777777" w:rsidR="0000006E" w:rsidRDefault="0000006E" w:rsidP="00295A76">
      <w:pPr>
        <w:ind w:firstLineChars="202" w:firstLine="566"/>
      </w:pPr>
      <w:r w:rsidRPr="00372E4C">
        <w:rPr>
          <w:noProof/>
        </w:rPr>
        <w:drawing>
          <wp:anchor distT="0" distB="0" distL="114300" distR="114300" simplePos="0" relativeHeight="251662336" behindDoc="0" locked="0" layoutInCell="1" allowOverlap="1" wp14:anchorId="025B190D" wp14:editId="7BDCB799">
            <wp:simplePos x="0" y="0"/>
            <wp:positionH relativeFrom="margin">
              <wp:posOffset>-76595</wp:posOffset>
            </wp:positionH>
            <wp:positionV relativeFrom="paragraph">
              <wp:posOffset>1686170</wp:posOffset>
            </wp:positionV>
            <wp:extent cx="5420360" cy="3273425"/>
            <wp:effectExtent l="0" t="0" r="8890" b="317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20360" cy="32734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之后聚集的带正电荷的离子束进入到质谱检测器中，经由特殊的锥孔结构使气压逐渐降至真空，以减少离子运动和限制随机碰撞（</w:t>
      </w:r>
      <w:r>
        <w:t>Random Collisions</w:t>
      </w:r>
      <w:r>
        <w:rPr>
          <w:rFonts w:hint="eastAsia"/>
        </w:rPr>
        <w:t>）并通过四级偏转电场，过滤掉不带电的粒子和</w:t>
      </w:r>
      <w:r>
        <w:rPr>
          <w:rFonts w:hint="eastAsia"/>
        </w:rPr>
        <w:t>7</w:t>
      </w:r>
      <w:r>
        <w:t>5Da</w:t>
      </w:r>
      <w:r>
        <w:rPr>
          <w:rFonts w:hint="eastAsia"/>
        </w:rPr>
        <w:t>以下的正离子（如</w:t>
      </w:r>
      <w:r>
        <w:rPr>
          <w:rFonts w:hint="eastAsia"/>
        </w:rPr>
        <w:t>H+</w:t>
      </w:r>
      <w:r>
        <w:rPr>
          <w:rFonts w:hint="eastAsia"/>
        </w:rPr>
        <w:t>、</w:t>
      </w:r>
      <w:r>
        <w:t>C</w:t>
      </w:r>
      <w:r w:rsidRPr="00E55144">
        <w:rPr>
          <w:rFonts w:hint="eastAsia"/>
          <w:vertAlign w:val="superscript"/>
        </w:rPr>
        <w:t>+</w:t>
      </w:r>
      <w:r>
        <w:rPr>
          <w:rFonts w:hint="eastAsia"/>
        </w:rPr>
        <w:t>、</w:t>
      </w:r>
      <w:r>
        <w:t>O</w:t>
      </w:r>
      <w:r w:rsidRPr="00E55144">
        <w:rPr>
          <w:vertAlign w:val="superscript"/>
        </w:rPr>
        <w:t>+</w:t>
      </w:r>
      <w:r>
        <w:rPr>
          <w:rFonts w:hint="eastAsia"/>
        </w:rPr>
        <w:t>、</w:t>
      </w:r>
      <w:r>
        <w:rPr>
          <w:rFonts w:hint="eastAsia"/>
        </w:rPr>
        <w:t>Ar</w:t>
      </w:r>
      <w:r w:rsidRPr="00E55144">
        <w:rPr>
          <w:vertAlign w:val="superscript"/>
        </w:rPr>
        <w:t>+</w:t>
      </w:r>
      <w:r>
        <w:rPr>
          <w:rFonts w:hint="eastAsia"/>
        </w:rPr>
        <w:t>、</w:t>
      </w:r>
      <w:r>
        <w:rPr>
          <w:rFonts w:hint="eastAsia"/>
        </w:rPr>
        <w:t>O</w:t>
      </w:r>
      <w:r>
        <w:t>H</w:t>
      </w:r>
      <w:r w:rsidRPr="00E55144">
        <w:rPr>
          <w:vertAlign w:val="superscript"/>
        </w:rPr>
        <w:t>+</w:t>
      </w:r>
      <w:r>
        <w:rPr>
          <w:rFonts w:hint="eastAsia"/>
        </w:rPr>
        <w:t>等），最终剩下的只有重金属离子。</w:t>
      </w:r>
    </w:p>
    <w:p w14:paraId="4FBFEFC7" w14:textId="77777777" w:rsidR="0000006E" w:rsidRDefault="0000006E" w:rsidP="00EF285C">
      <w:pPr>
        <w:ind w:firstLineChars="202" w:firstLine="566"/>
      </w:pPr>
      <w:r w:rsidRPr="00372E4C">
        <w:rPr>
          <w:noProof/>
        </w:rPr>
        <w:lastRenderedPageBreak/>
        <w:drawing>
          <wp:anchor distT="0" distB="0" distL="114300" distR="114300" simplePos="0" relativeHeight="251661312" behindDoc="0" locked="0" layoutInCell="1" allowOverlap="1" wp14:anchorId="5D7C6B68" wp14:editId="09316B3F">
            <wp:simplePos x="0" y="0"/>
            <wp:positionH relativeFrom="margin">
              <wp:posOffset>366382</wp:posOffset>
            </wp:positionH>
            <wp:positionV relativeFrom="paragraph">
              <wp:posOffset>980125</wp:posOffset>
            </wp:positionV>
            <wp:extent cx="4207510" cy="2814955"/>
            <wp:effectExtent l="0" t="0" r="254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7510" cy="281495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最后待测重金属离子减速进入检测区域，通过测量离子在磁场作用下的飞行时间和最终打在检测电极上的信号强度，确定离子的种类和数量。</w:t>
      </w:r>
    </w:p>
    <w:p w14:paraId="71AA683C" w14:textId="3129D12B" w:rsidR="0000006E" w:rsidRPr="00AC6439" w:rsidRDefault="0000006E" w:rsidP="006307B5">
      <w:pPr>
        <w:widowControl/>
        <w:spacing w:line="240" w:lineRule="auto"/>
        <w:jc w:val="left"/>
        <w:rPr>
          <w:rFonts w:hint="eastAsia"/>
        </w:rPr>
      </w:pPr>
      <w:r>
        <w:br w:type="page"/>
      </w:r>
    </w:p>
    <w:p w14:paraId="316DC686" w14:textId="77777777" w:rsidR="0000006E" w:rsidRDefault="0000006E" w:rsidP="00AC6439">
      <w:pPr>
        <w:pStyle w:val="1"/>
        <w:numPr>
          <w:ilvl w:val="0"/>
          <w:numId w:val="5"/>
        </w:numPr>
      </w:pPr>
      <w:r>
        <w:rPr>
          <w:rFonts w:hint="eastAsia"/>
        </w:rPr>
        <w:lastRenderedPageBreak/>
        <w:t>应用</w:t>
      </w:r>
    </w:p>
    <w:p w14:paraId="5B65DEEA" w14:textId="77777777" w:rsidR="0000006E" w:rsidRDefault="0000006E" w:rsidP="001576EC">
      <w:pPr>
        <w:ind w:firstLineChars="202" w:firstLine="566"/>
      </w:pPr>
      <w:r>
        <w:rPr>
          <w:rFonts w:hint="eastAsia"/>
        </w:rPr>
        <w:t>主要适用于高异质性细胞群体的研究，可有效解决荧光流式荧光光谱重叠和通道数限制的问题，并且背景值极低（稀有金属同位素）。目前主要用于</w:t>
      </w:r>
      <w:r w:rsidRPr="001E64B0">
        <w:rPr>
          <w:rFonts w:hint="eastAsia"/>
          <w:b/>
          <w:bCs/>
        </w:rPr>
        <w:t>单细胞水平蛋白组学研究，细分细胞亚群，信号通路上各蛋白表达情况研究</w:t>
      </w:r>
      <w:r>
        <w:rPr>
          <w:rFonts w:hint="eastAsia"/>
        </w:rPr>
        <w:t>等。</w:t>
      </w:r>
    </w:p>
    <w:p w14:paraId="6E25A7D9" w14:textId="77777777" w:rsidR="0000006E" w:rsidRDefault="0000006E" w:rsidP="001576EC">
      <w:pPr>
        <w:ind w:firstLineChars="202" w:firstLine="566"/>
      </w:pPr>
      <w:r>
        <w:rPr>
          <w:noProof/>
        </w:rPr>
        <w:drawing>
          <wp:anchor distT="0" distB="0" distL="114300" distR="114300" simplePos="0" relativeHeight="251665408" behindDoc="0" locked="0" layoutInCell="1" allowOverlap="1" wp14:anchorId="47EC0A08" wp14:editId="4549ACF2">
            <wp:simplePos x="0" y="0"/>
            <wp:positionH relativeFrom="margin">
              <wp:align>right</wp:align>
            </wp:positionH>
            <wp:positionV relativeFrom="paragraph">
              <wp:posOffset>2074469</wp:posOffset>
            </wp:positionV>
            <wp:extent cx="4999990" cy="4220210"/>
            <wp:effectExtent l="0" t="0" r="0" b="889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9990" cy="42202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由于有</w:t>
      </w:r>
      <w:r w:rsidRPr="005615C6">
        <w:rPr>
          <w:rFonts w:hint="eastAsia"/>
          <w:b/>
          <w:bCs/>
        </w:rPr>
        <w:t>足够多的通道数</w:t>
      </w:r>
      <w:r>
        <w:rPr>
          <w:rFonts w:hint="eastAsia"/>
        </w:rPr>
        <w:t>，可以同时获得细胞数十种蛋白的表达情况，其可应用于进一步</w:t>
      </w:r>
      <w:r w:rsidRPr="005615C6">
        <w:rPr>
          <w:rFonts w:hint="eastAsia"/>
          <w:b/>
          <w:bCs/>
        </w:rPr>
        <w:t>细分细胞亚型</w:t>
      </w:r>
      <w:r>
        <w:rPr>
          <w:rFonts w:hint="eastAsia"/>
        </w:rPr>
        <w:t>（聚类分析，如</w:t>
      </w:r>
      <w:r>
        <w:t>viSNE</w:t>
      </w:r>
      <w:r>
        <w:rPr>
          <w:rFonts w:hint="eastAsia"/>
        </w:rPr>
        <w:t>等）以及比较其细胞数量，如</w:t>
      </w:r>
      <w:r>
        <w:rPr>
          <w:rFonts w:hint="eastAsia"/>
        </w:rPr>
        <w:t>2</w:t>
      </w:r>
      <w:r>
        <w:t>020</w:t>
      </w:r>
      <w:r>
        <w:rPr>
          <w:rFonts w:hint="eastAsia"/>
        </w:rPr>
        <w:t>年</w:t>
      </w:r>
      <w:r>
        <w:rPr>
          <w:rFonts w:hint="eastAsia"/>
        </w:rPr>
        <w:t>N</w:t>
      </w:r>
      <w:r>
        <w:t>ature</w:t>
      </w:r>
      <w:r>
        <w:rPr>
          <w:rFonts w:hint="eastAsia"/>
        </w:rPr>
        <w:t>上一篇报道</w:t>
      </w:r>
      <w:r w:rsidRPr="00142A32">
        <w:rPr>
          <w:noProof/>
          <w:vertAlign w:val="superscript"/>
        </w:rPr>
        <w:t>[1]</w:t>
      </w:r>
      <w:r>
        <w:rPr>
          <w:rFonts w:hint="eastAsia"/>
        </w:rPr>
        <w:t>，通过质谱流式对</w:t>
      </w:r>
      <w:r>
        <w:rPr>
          <w:rFonts w:hint="eastAsia"/>
        </w:rPr>
        <w:t>I</w:t>
      </w:r>
      <w:r>
        <w:t>CB</w:t>
      </w:r>
      <w:r>
        <w:rPr>
          <w:rFonts w:hint="eastAsia"/>
        </w:rPr>
        <w:t>治疗有效和无效组的肿瘤浸润免疫细胞比较，发现治疗有效组能有效的形成</w:t>
      </w:r>
      <w:r>
        <w:rPr>
          <w:rFonts w:hint="eastAsia"/>
        </w:rPr>
        <w:t>T</w:t>
      </w:r>
      <w:r>
        <w:t>LS</w:t>
      </w:r>
      <w:r>
        <w:rPr>
          <w:rFonts w:hint="eastAsia"/>
        </w:rPr>
        <w:t>结构，揭示了</w:t>
      </w:r>
      <w:r>
        <w:rPr>
          <w:rFonts w:hint="eastAsia"/>
        </w:rPr>
        <w:t>B</w:t>
      </w:r>
      <w:r>
        <w:rPr>
          <w:rFonts w:hint="eastAsia"/>
        </w:rPr>
        <w:t>细胞的潜在功能，证明了在治疗有效组中</w:t>
      </w:r>
      <w:r>
        <w:rPr>
          <w:rFonts w:hint="eastAsia"/>
        </w:rPr>
        <w:t>B</w:t>
      </w:r>
      <w:r>
        <w:rPr>
          <w:rFonts w:hint="eastAsia"/>
        </w:rPr>
        <w:t>细胞独特的功能状态、扩增与丰富的记忆</w:t>
      </w:r>
      <w:r>
        <w:rPr>
          <w:rFonts w:hint="eastAsia"/>
        </w:rPr>
        <w:t>B</w:t>
      </w:r>
      <w:r>
        <w:rPr>
          <w:rFonts w:hint="eastAsia"/>
        </w:rPr>
        <w:t>细胞含量。</w:t>
      </w:r>
    </w:p>
    <w:p w14:paraId="35A51ECD" w14:textId="77777777" w:rsidR="0000006E" w:rsidRDefault="0000006E" w:rsidP="001576EC">
      <w:pPr>
        <w:ind w:firstLineChars="202" w:firstLine="566"/>
      </w:pPr>
    </w:p>
    <w:p w14:paraId="1A9B78C4" w14:textId="77777777" w:rsidR="0000006E" w:rsidRDefault="0000006E" w:rsidP="00AC6439"/>
    <w:p w14:paraId="5974A5F5" w14:textId="77777777" w:rsidR="0000006E" w:rsidRPr="00434192" w:rsidRDefault="0000006E" w:rsidP="00AC6439">
      <w:r>
        <w:rPr>
          <w:rFonts w:hint="eastAsia"/>
        </w:rPr>
        <w:lastRenderedPageBreak/>
        <w:t xml:space="preserve"> </w:t>
      </w:r>
      <w:r>
        <w:t xml:space="preserve">  </w:t>
      </w:r>
      <w:r>
        <w:rPr>
          <w:rFonts w:hint="eastAsia"/>
        </w:rPr>
        <w:t>如</w:t>
      </w:r>
      <w:r>
        <w:rPr>
          <w:rFonts w:hint="eastAsia"/>
        </w:rPr>
        <w:t>2</w:t>
      </w:r>
      <w:r>
        <w:t>018</w:t>
      </w:r>
      <w:r>
        <w:rPr>
          <w:rFonts w:hint="eastAsia"/>
        </w:rPr>
        <w:t>年</w:t>
      </w:r>
      <w:r>
        <w:rPr>
          <w:rFonts w:hint="eastAsia"/>
        </w:rPr>
        <w:t>N</w:t>
      </w:r>
      <w:r>
        <w:t>ature Communication</w:t>
      </w:r>
      <w:r>
        <w:rPr>
          <w:rFonts w:hint="eastAsia"/>
        </w:rPr>
        <w:t>上</w:t>
      </w:r>
      <w:r w:rsidRPr="005615C6">
        <w:rPr>
          <w:noProof/>
          <w:vertAlign w:val="superscript"/>
        </w:rPr>
        <w:t>[2]</w:t>
      </w:r>
      <w:r>
        <w:rPr>
          <w:rFonts w:hint="eastAsia"/>
        </w:rPr>
        <w:t>，通过质谱流式寻找</w:t>
      </w:r>
      <w:r>
        <w:rPr>
          <w:rFonts w:hint="eastAsia"/>
        </w:rPr>
        <w:t>M</w:t>
      </w:r>
      <w:r>
        <w:t>DS</w:t>
      </w:r>
      <w:r>
        <w:rPr>
          <w:rFonts w:hint="eastAsia"/>
        </w:rPr>
        <w:t>恶性干细胞标志物，以期能早期发现易进展为</w:t>
      </w:r>
      <w:r>
        <w:rPr>
          <w:rFonts w:hint="eastAsia"/>
        </w:rPr>
        <w:t>A</w:t>
      </w:r>
      <w:r>
        <w:t>ML</w:t>
      </w:r>
      <w:r>
        <w:rPr>
          <w:rFonts w:hint="eastAsia"/>
        </w:rPr>
        <w:t>的人群，实现早期干预和治疗，改善预后。研究发现</w:t>
      </w:r>
      <w:r>
        <w:rPr>
          <w:rFonts w:hint="eastAsia"/>
        </w:rPr>
        <w:t>C</w:t>
      </w:r>
      <w:r>
        <w:t>D123</w:t>
      </w:r>
      <w:r>
        <w:rPr>
          <w:rFonts w:hint="eastAsia"/>
        </w:rPr>
        <w:t>表达与</w:t>
      </w:r>
      <w:r>
        <w:rPr>
          <w:rFonts w:hint="eastAsia"/>
        </w:rPr>
        <w:t>M</w:t>
      </w:r>
      <w:r>
        <w:t>DS</w:t>
      </w:r>
      <w:r>
        <w:rPr>
          <w:rFonts w:hint="eastAsia"/>
        </w:rPr>
        <w:t>疾病进展以及</w:t>
      </w:r>
      <w:r>
        <w:rPr>
          <w:rFonts w:hint="eastAsia"/>
        </w:rPr>
        <w:t>A</w:t>
      </w:r>
      <w:r>
        <w:t>ML</w:t>
      </w:r>
      <w:r>
        <w:rPr>
          <w:rFonts w:hint="eastAsia"/>
        </w:rPr>
        <w:t>发生有关，并进一步使用</w:t>
      </w:r>
      <w:r w:rsidRPr="001E64B0">
        <w:rPr>
          <w:rFonts w:hint="eastAsia"/>
          <w:b/>
          <w:bCs/>
        </w:rPr>
        <w:t>质谱流式发现</w:t>
      </w:r>
      <w:r w:rsidRPr="001E64B0">
        <w:rPr>
          <w:rFonts w:hint="eastAsia"/>
          <w:b/>
          <w:bCs/>
        </w:rPr>
        <w:t>C</w:t>
      </w:r>
      <w:r w:rsidRPr="001E64B0">
        <w:rPr>
          <w:b/>
          <w:bCs/>
        </w:rPr>
        <w:t>D123</w:t>
      </w:r>
      <w:r w:rsidRPr="001E64B0">
        <w:rPr>
          <w:rFonts w:hint="eastAsia"/>
          <w:b/>
          <w:bCs/>
        </w:rPr>
        <w:t>表达的细胞中存在磷酸化的</w:t>
      </w:r>
      <w:r w:rsidRPr="001E64B0">
        <w:rPr>
          <w:rFonts w:hint="eastAsia"/>
          <w:b/>
          <w:bCs/>
        </w:rPr>
        <w:t>p</w:t>
      </w:r>
      <w:r w:rsidRPr="001E64B0">
        <w:rPr>
          <w:b/>
          <w:bCs/>
        </w:rPr>
        <w:t>38</w:t>
      </w:r>
      <w:r w:rsidRPr="001E64B0">
        <w:rPr>
          <w:rFonts w:hint="eastAsia"/>
          <w:b/>
          <w:bCs/>
        </w:rPr>
        <w:t>、</w:t>
      </w:r>
      <w:r w:rsidRPr="001E64B0">
        <w:rPr>
          <w:rFonts w:hint="eastAsia"/>
          <w:b/>
          <w:bCs/>
        </w:rPr>
        <w:t>S</w:t>
      </w:r>
      <w:r w:rsidRPr="001E64B0">
        <w:rPr>
          <w:b/>
          <w:bCs/>
        </w:rPr>
        <w:t>TAT5</w:t>
      </w:r>
      <w:r w:rsidRPr="001E64B0">
        <w:rPr>
          <w:rFonts w:hint="eastAsia"/>
          <w:b/>
          <w:bCs/>
        </w:rPr>
        <w:t>和</w:t>
      </w:r>
      <w:r w:rsidRPr="001E64B0">
        <w:rPr>
          <w:rFonts w:hint="eastAsia"/>
          <w:b/>
          <w:bCs/>
        </w:rPr>
        <w:t>A</w:t>
      </w:r>
      <w:r w:rsidRPr="001E64B0">
        <w:rPr>
          <w:b/>
          <w:bCs/>
        </w:rPr>
        <w:t>KT</w:t>
      </w:r>
      <w:r w:rsidRPr="001E64B0">
        <w:rPr>
          <w:rFonts w:hint="eastAsia"/>
          <w:b/>
          <w:bCs/>
        </w:rPr>
        <w:t>表达，揭示其潜在的信号通路</w:t>
      </w:r>
      <w:r>
        <w:rPr>
          <w:rFonts w:hint="eastAsia"/>
        </w:rPr>
        <w:t>和机制。</w:t>
      </w:r>
    </w:p>
    <w:p w14:paraId="6B0F8F07" w14:textId="77777777" w:rsidR="0000006E" w:rsidRPr="00AC6439" w:rsidRDefault="0000006E" w:rsidP="002A13CB">
      <w:pPr>
        <w:widowControl/>
        <w:spacing w:line="240" w:lineRule="auto"/>
        <w:jc w:val="left"/>
      </w:pPr>
      <w:r>
        <w:rPr>
          <w:noProof/>
        </w:rPr>
        <w:drawing>
          <wp:anchor distT="0" distB="0" distL="114300" distR="114300" simplePos="0" relativeHeight="251667456" behindDoc="0" locked="0" layoutInCell="1" allowOverlap="1" wp14:anchorId="1FE58B8D" wp14:editId="442761B6">
            <wp:simplePos x="0" y="0"/>
            <wp:positionH relativeFrom="column">
              <wp:posOffset>-59103</wp:posOffset>
            </wp:positionH>
            <wp:positionV relativeFrom="paragraph">
              <wp:posOffset>4257320</wp:posOffset>
            </wp:positionV>
            <wp:extent cx="3368794" cy="2273025"/>
            <wp:effectExtent l="0" t="0" r="3175" b="0"/>
            <wp:wrapNone/>
            <wp:docPr id="10" name="图片 5">
              <a:extLst xmlns:a="http://schemas.openxmlformats.org/drawingml/2006/main">
                <a:ext uri="{FF2B5EF4-FFF2-40B4-BE49-F238E27FC236}">
                  <a16:creationId xmlns:a16="http://schemas.microsoft.com/office/drawing/2014/main" id="{F3D4A919-D299-45BD-95BC-6669318A8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3D4A919-D299-45BD-95BC-6669318A85CE}"/>
                        </a:ext>
                      </a:extLst>
                    </pic:cNvPr>
                    <pic:cNvPicPr>
                      <a:picLocks noChangeAspect="1"/>
                    </pic:cNvPicPr>
                  </pic:nvPicPr>
                  <pic:blipFill>
                    <a:blip r:embed="rId14"/>
                    <a:stretch>
                      <a:fillRect/>
                    </a:stretch>
                  </pic:blipFill>
                  <pic:spPr>
                    <a:xfrm>
                      <a:off x="0" y="0"/>
                      <a:ext cx="3368794" cy="2273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5DC5384" wp14:editId="607CC4F8">
            <wp:simplePos x="0" y="0"/>
            <wp:positionH relativeFrom="margin">
              <wp:align>left</wp:align>
            </wp:positionH>
            <wp:positionV relativeFrom="paragraph">
              <wp:posOffset>2052902</wp:posOffset>
            </wp:positionV>
            <wp:extent cx="3306445" cy="2157730"/>
            <wp:effectExtent l="0" t="0" r="8255" b="0"/>
            <wp:wrapNone/>
            <wp:docPr id="9" name="图片 8">
              <a:extLst xmlns:a="http://schemas.openxmlformats.org/drawingml/2006/main">
                <a:ext uri="{FF2B5EF4-FFF2-40B4-BE49-F238E27FC236}">
                  <a16:creationId xmlns:a16="http://schemas.microsoft.com/office/drawing/2014/main" id="{9188BD40-DD00-4A1E-9DDB-696352F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188BD40-DD00-4A1E-9DDB-696352FB2F18}"/>
                        </a:ext>
                      </a:extLst>
                    </pic:cNvPr>
                    <pic:cNvPicPr>
                      <a:picLocks noChangeAspect="1"/>
                    </pic:cNvPicPr>
                  </pic:nvPicPr>
                  <pic:blipFill>
                    <a:blip r:embed="rId15"/>
                    <a:stretch>
                      <a:fillRect/>
                    </a:stretch>
                  </pic:blipFill>
                  <pic:spPr>
                    <a:xfrm>
                      <a:off x="0" y="0"/>
                      <a:ext cx="3306445" cy="2157730"/>
                    </a:xfrm>
                    <a:prstGeom prst="rect">
                      <a:avLst/>
                    </a:prstGeom>
                  </pic:spPr>
                </pic:pic>
              </a:graphicData>
            </a:graphic>
          </wp:anchor>
        </w:drawing>
      </w:r>
      <w:r>
        <w:rPr>
          <w:noProof/>
        </w:rPr>
        <w:drawing>
          <wp:anchor distT="0" distB="0" distL="114300" distR="114300" simplePos="0" relativeHeight="251666432" behindDoc="0" locked="0" layoutInCell="1" allowOverlap="1" wp14:anchorId="2D9D4C04" wp14:editId="0679FAD7">
            <wp:simplePos x="0" y="0"/>
            <wp:positionH relativeFrom="margin">
              <wp:align>left</wp:align>
            </wp:positionH>
            <wp:positionV relativeFrom="paragraph">
              <wp:posOffset>160894</wp:posOffset>
            </wp:positionV>
            <wp:extent cx="3306445" cy="1799590"/>
            <wp:effectExtent l="0" t="0" r="8255" b="0"/>
            <wp:wrapNone/>
            <wp:docPr id="8" name="图片 2">
              <a:extLst xmlns:a="http://schemas.openxmlformats.org/drawingml/2006/main">
                <a:ext uri="{FF2B5EF4-FFF2-40B4-BE49-F238E27FC236}">
                  <a16:creationId xmlns:a16="http://schemas.microsoft.com/office/drawing/2014/main" id="{8B11F594-12C0-44A4-A9DA-98AD6D53DD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8B11F594-12C0-44A4-A9DA-98AD6D53DD12}"/>
                        </a:ext>
                      </a:extLst>
                    </pic:cNvPr>
                    <pic:cNvPicPr>
                      <a:picLocks noChangeAspect="1"/>
                    </pic:cNvPicPr>
                  </pic:nvPicPr>
                  <pic:blipFill>
                    <a:blip r:embed="rId16"/>
                    <a:stretch>
                      <a:fillRect/>
                    </a:stretch>
                  </pic:blipFill>
                  <pic:spPr>
                    <a:xfrm>
                      <a:off x="0" y="0"/>
                      <a:ext cx="3306445" cy="1799590"/>
                    </a:xfrm>
                    <a:prstGeom prst="rect">
                      <a:avLst/>
                    </a:prstGeom>
                  </pic:spPr>
                </pic:pic>
              </a:graphicData>
            </a:graphic>
          </wp:anchor>
        </w:drawing>
      </w:r>
      <w:r>
        <w:br w:type="page"/>
      </w:r>
    </w:p>
    <w:p w14:paraId="4EEEF661" w14:textId="77777777" w:rsidR="0000006E" w:rsidRPr="00AC6439" w:rsidRDefault="0000006E" w:rsidP="00AC6439">
      <w:pPr>
        <w:pStyle w:val="1"/>
        <w:numPr>
          <w:ilvl w:val="0"/>
          <w:numId w:val="5"/>
        </w:numPr>
      </w:pPr>
      <w:r>
        <w:rPr>
          <w:rFonts w:hint="eastAsia"/>
        </w:rPr>
        <w:lastRenderedPageBreak/>
        <w:t>注意事项</w:t>
      </w:r>
    </w:p>
    <w:p w14:paraId="406EC460" w14:textId="369D1157" w:rsidR="0000006E" w:rsidRDefault="0000006E" w:rsidP="00D61B8F">
      <w:pPr>
        <w:pStyle w:val="a7"/>
        <w:numPr>
          <w:ilvl w:val="0"/>
          <w:numId w:val="2"/>
        </w:numPr>
        <w:adjustRightInd w:val="0"/>
        <w:snapToGrid w:val="0"/>
        <w:spacing w:line="360" w:lineRule="auto"/>
        <w:ind w:firstLineChars="0"/>
        <w:rPr>
          <w:rFonts w:cs="Times New Roman"/>
          <w:bCs/>
          <w:color w:val="000000" w:themeColor="text1"/>
        </w:rPr>
      </w:pPr>
      <w:r>
        <w:rPr>
          <w:rFonts w:cs="Times New Roman" w:hint="eastAsia"/>
          <w:bCs/>
          <w:color w:val="000000" w:themeColor="text1"/>
        </w:rPr>
        <w:t>样本收集前，避免使用含</w:t>
      </w:r>
      <w:r w:rsidR="006307B5">
        <w:rPr>
          <w:rFonts w:cs="Times New Roman" w:hint="eastAsia"/>
          <w:bCs/>
          <w:color w:val="000000" w:themeColor="text1"/>
        </w:rPr>
        <w:t>钙</w:t>
      </w:r>
      <w:r>
        <w:rPr>
          <w:rFonts w:cs="Times New Roman" w:hint="eastAsia"/>
          <w:bCs/>
          <w:color w:val="000000" w:themeColor="text1"/>
        </w:rPr>
        <w:t>、</w:t>
      </w:r>
      <w:r w:rsidR="006307B5">
        <w:rPr>
          <w:rFonts w:cs="Times New Roman" w:hint="eastAsia"/>
          <w:bCs/>
          <w:color w:val="000000" w:themeColor="text1"/>
        </w:rPr>
        <w:t>镁</w:t>
      </w:r>
      <w:r>
        <w:rPr>
          <w:rFonts w:cs="Times New Roman" w:hint="eastAsia"/>
          <w:bCs/>
          <w:color w:val="000000" w:themeColor="text1"/>
        </w:rPr>
        <w:t>离子的</w:t>
      </w:r>
      <w:r>
        <w:rPr>
          <w:rFonts w:cs="Times New Roman" w:hint="eastAsia"/>
          <w:bCs/>
          <w:color w:val="000000" w:themeColor="text1"/>
        </w:rPr>
        <w:t>P</w:t>
      </w:r>
      <w:r>
        <w:rPr>
          <w:rFonts w:cs="Times New Roman"/>
          <w:bCs/>
          <w:color w:val="000000" w:themeColor="text1"/>
        </w:rPr>
        <w:t>BS</w:t>
      </w:r>
      <w:r w:rsidR="006307B5">
        <w:rPr>
          <w:rFonts w:cs="Times New Roman" w:hint="eastAsia"/>
          <w:bCs/>
          <w:color w:val="000000" w:themeColor="text1"/>
        </w:rPr>
        <w:t>缓冲液</w:t>
      </w:r>
      <w:r>
        <w:rPr>
          <w:rFonts w:cs="Times New Roman" w:hint="eastAsia"/>
          <w:bCs/>
          <w:color w:val="000000" w:themeColor="text1"/>
        </w:rPr>
        <w:t>，以防止同一主族元素</w:t>
      </w:r>
      <w:r w:rsidR="006307B5">
        <w:rPr>
          <w:rFonts w:cs="Times New Roman" w:hint="eastAsia"/>
          <w:bCs/>
          <w:color w:val="000000" w:themeColor="text1"/>
        </w:rPr>
        <w:t>钡</w:t>
      </w:r>
      <w:r>
        <w:rPr>
          <w:rFonts w:cs="Times New Roman" w:hint="eastAsia"/>
          <w:bCs/>
          <w:color w:val="000000" w:themeColor="text1"/>
        </w:rPr>
        <w:t>的污染。过程中所有玻璃试剂瓶应注意不含</w:t>
      </w:r>
      <w:r w:rsidR="006307B5">
        <w:rPr>
          <w:rFonts w:cs="Times New Roman" w:hint="eastAsia"/>
          <w:bCs/>
          <w:color w:val="000000" w:themeColor="text1"/>
        </w:rPr>
        <w:t>铅</w:t>
      </w:r>
      <w:r>
        <w:rPr>
          <w:rFonts w:cs="Times New Roman" w:hint="eastAsia"/>
          <w:bCs/>
          <w:color w:val="000000" w:themeColor="text1"/>
        </w:rPr>
        <w:t>和使用无</w:t>
      </w:r>
      <w:r w:rsidR="006307B5">
        <w:rPr>
          <w:rFonts w:cs="Times New Roman" w:hint="eastAsia"/>
          <w:bCs/>
          <w:color w:val="000000" w:themeColor="text1"/>
        </w:rPr>
        <w:t>碘</w:t>
      </w:r>
      <w:r>
        <w:rPr>
          <w:rFonts w:cs="Times New Roman" w:hint="eastAsia"/>
          <w:bCs/>
          <w:color w:val="000000" w:themeColor="text1"/>
        </w:rPr>
        <w:t>无粉手套，避免外来的金属元素干扰。</w:t>
      </w:r>
    </w:p>
    <w:p w14:paraId="7470683F" w14:textId="7A6B9BD0" w:rsidR="0000006E" w:rsidRDefault="0000006E" w:rsidP="00D61B8F">
      <w:pPr>
        <w:pStyle w:val="a7"/>
        <w:numPr>
          <w:ilvl w:val="0"/>
          <w:numId w:val="2"/>
        </w:numPr>
        <w:adjustRightInd w:val="0"/>
        <w:snapToGrid w:val="0"/>
        <w:spacing w:line="360" w:lineRule="auto"/>
        <w:ind w:firstLineChars="0"/>
        <w:rPr>
          <w:rFonts w:cs="Times New Roman"/>
          <w:bCs/>
          <w:color w:val="000000" w:themeColor="text1"/>
        </w:rPr>
      </w:pPr>
      <w:r>
        <w:rPr>
          <w:rFonts w:cs="Times New Roman" w:hint="eastAsia"/>
          <w:bCs/>
          <w:color w:val="000000" w:themeColor="text1"/>
        </w:rPr>
        <w:t>细胞</w:t>
      </w:r>
      <w:r w:rsidR="006307B5">
        <w:rPr>
          <w:rFonts w:cs="Times New Roman" w:hint="eastAsia"/>
          <w:bCs/>
          <w:color w:val="000000" w:themeColor="text1"/>
        </w:rPr>
        <w:t>浓度为</w:t>
      </w:r>
      <w:r>
        <w:rPr>
          <w:rFonts w:cs="Times New Roman" w:hint="eastAsia"/>
          <w:bCs/>
          <w:color w:val="000000" w:themeColor="text1"/>
        </w:rPr>
        <w:t>1</w:t>
      </w:r>
      <w:r>
        <w:rPr>
          <w:rFonts w:cs="Times New Roman" w:hint="eastAsia"/>
          <w:bCs/>
          <w:color w:val="000000" w:themeColor="text1"/>
        </w:rPr>
        <w:t>至</w:t>
      </w:r>
      <w:r>
        <w:rPr>
          <w:rFonts w:cs="Times New Roman" w:hint="eastAsia"/>
          <w:bCs/>
          <w:color w:val="000000" w:themeColor="text1"/>
        </w:rPr>
        <w:t>3</w:t>
      </w:r>
      <w:r>
        <w:rPr>
          <w:rFonts w:cs="Times New Roman"/>
          <w:bCs/>
          <w:color w:val="000000" w:themeColor="text1"/>
        </w:rPr>
        <w:t xml:space="preserve"> </w:t>
      </w:r>
      <w:r>
        <w:rPr>
          <w:rFonts w:cs="Times New Roman" w:hint="eastAsia"/>
          <w:bCs/>
          <w:color w:val="000000" w:themeColor="text1"/>
        </w:rPr>
        <w:t>*</w:t>
      </w:r>
      <w:r>
        <w:rPr>
          <w:rFonts w:cs="Times New Roman"/>
          <w:bCs/>
          <w:color w:val="000000" w:themeColor="text1"/>
        </w:rPr>
        <w:t xml:space="preserve"> </w:t>
      </w:r>
      <w:r>
        <w:rPr>
          <w:rFonts w:cs="Times New Roman" w:hint="eastAsia"/>
          <w:bCs/>
          <w:color w:val="000000" w:themeColor="text1"/>
        </w:rPr>
        <w:t>10</w:t>
      </w:r>
      <w:r>
        <w:rPr>
          <w:rFonts w:cs="Times New Roman"/>
          <w:bCs/>
          <w:color w:val="000000" w:themeColor="text1"/>
        </w:rPr>
        <w:t>^</w:t>
      </w:r>
      <w:r w:rsidRPr="00E2353E">
        <w:rPr>
          <w:rFonts w:cs="Times New Roman"/>
          <w:bCs/>
          <w:color w:val="000000" w:themeColor="text1"/>
          <w:vertAlign w:val="superscript"/>
        </w:rPr>
        <w:t>6</w:t>
      </w:r>
      <w:r>
        <w:rPr>
          <w:rFonts w:cs="Times New Roman" w:hint="eastAsia"/>
          <w:bCs/>
          <w:color w:val="000000" w:themeColor="text1"/>
        </w:rPr>
        <w:t>个</w:t>
      </w:r>
      <w:r w:rsidR="006307B5">
        <w:rPr>
          <w:rFonts w:cs="Times New Roman" w:hint="eastAsia"/>
          <w:bCs/>
          <w:color w:val="000000" w:themeColor="text1"/>
        </w:rPr>
        <w:t>/</w:t>
      </w:r>
      <w:r w:rsidR="006307B5">
        <w:rPr>
          <w:rFonts w:cs="Times New Roman"/>
          <w:bCs/>
          <w:color w:val="000000" w:themeColor="text1"/>
        </w:rPr>
        <w:t>ml</w:t>
      </w:r>
      <w:r>
        <w:rPr>
          <w:rFonts w:cs="Times New Roman" w:hint="eastAsia"/>
          <w:bCs/>
          <w:color w:val="000000" w:themeColor="text1"/>
        </w:rPr>
        <w:t>，体积</w:t>
      </w:r>
      <w:r>
        <w:rPr>
          <w:rFonts w:cs="Times New Roman" w:hint="eastAsia"/>
          <w:bCs/>
          <w:color w:val="000000" w:themeColor="text1"/>
        </w:rPr>
        <w:t>1</w:t>
      </w:r>
      <w:r>
        <w:rPr>
          <w:rFonts w:cs="Times New Roman"/>
          <w:bCs/>
          <w:color w:val="000000" w:themeColor="text1"/>
        </w:rPr>
        <w:t>ml</w:t>
      </w:r>
      <w:r>
        <w:rPr>
          <w:rFonts w:cs="Times New Roman" w:hint="eastAsia"/>
          <w:bCs/>
          <w:color w:val="000000" w:themeColor="text1"/>
        </w:rPr>
        <w:t>为宜，活细胞占比</w:t>
      </w:r>
      <w:r>
        <w:rPr>
          <w:rFonts w:cs="Times New Roman" w:hint="eastAsia"/>
          <w:bCs/>
          <w:color w:val="000000" w:themeColor="text1"/>
        </w:rPr>
        <w:t>85%</w:t>
      </w:r>
      <w:r>
        <w:rPr>
          <w:rFonts w:cs="Times New Roman" w:hint="eastAsia"/>
          <w:bCs/>
          <w:color w:val="000000" w:themeColor="text1"/>
        </w:rPr>
        <w:t>以上。</w:t>
      </w:r>
    </w:p>
    <w:p w14:paraId="175C1CC5" w14:textId="77777777" w:rsidR="0000006E" w:rsidRPr="00712091" w:rsidRDefault="0000006E" w:rsidP="00D61B8F">
      <w:pPr>
        <w:pStyle w:val="a7"/>
        <w:numPr>
          <w:ilvl w:val="0"/>
          <w:numId w:val="2"/>
        </w:numPr>
        <w:adjustRightInd w:val="0"/>
        <w:snapToGrid w:val="0"/>
        <w:spacing w:line="360" w:lineRule="auto"/>
        <w:ind w:firstLineChars="0"/>
        <w:rPr>
          <w:rFonts w:cs="Times New Roman"/>
          <w:bCs/>
          <w:color w:val="000000" w:themeColor="text1"/>
        </w:rPr>
      </w:pPr>
      <w:r w:rsidRPr="00712091">
        <w:rPr>
          <w:rFonts w:cs="Times New Roman" w:hint="eastAsia"/>
          <w:bCs/>
          <w:color w:val="000000" w:themeColor="text1"/>
        </w:rPr>
        <w:t>制备或预购好金属标记的流式抗体。</w:t>
      </w:r>
    </w:p>
    <w:p w14:paraId="43C869FD" w14:textId="77777777" w:rsidR="0000006E" w:rsidRPr="00D61B8F" w:rsidRDefault="0000006E" w:rsidP="00D61B8F">
      <w:pPr>
        <w:pStyle w:val="a7"/>
        <w:numPr>
          <w:ilvl w:val="0"/>
          <w:numId w:val="2"/>
        </w:numPr>
        <w:adjustRightInd w:val="0"/>
        <w:snapToGrid w:val="0"/>
        <w:spacing w:line="360" w:lineRule="auto"/>
        <w:ind w:firstLineChars="0"/>
        <w:rPr>
          <w:rFonts w:cs="Times New Roman"/>
          <w:bCs/>
          <w:color w:val="000000" w:themeColor="text1"/>
        </w:rPr>
      </w:pPr>
      <w:r>
        <w:rPr>
          <w:rFonts w:cs="Times New Roman" w:hint="eastAsia"/>
          <w:bCs/>
          <w:color w:val="000000" w:themeColor="text1"/>
        </w:rPr>
        <w:t>使用对应试剂盒（</w:t>
      </w:r>
      <w:r>
        <w:rPr>
          <w:rFonts w:cs="Times New Roman" w:hint="eastAsia"/>
          <w:bCs/>
          <w:color w:val="000000" w:themeColor="text1"/>
        </w:rPr>
        <w:t>M</w:t>
      </w:r>
      <w:r>
        <w:rPr>
          <w:rFonts w:cs="Times New Roman"/>
          <w:bCs/>
          <w:color w:val="000000" w:themeColor="text1"/>
        </w:rPr>
        <w:t>axpar Fresh fix</w:t>
      </w:r>
      <w:r>
        <w:rPr>
          <w:rFonts w:cs="Times New Roman" w:hint="eastAsia"/>
          <w:bCs/>
          <w:color w:val="000000" w:themeColor="text1"/>
        </w:rPr>
        <w:t>核内蛋白</w:t>
      </w:r>
      <w:r>
        <w:rPr>
          <w:rFonts w:cs="Times New Roman" w:hint="eastAsia"/>
          <w:bCs/>
          <w:color w:val="000000" w:themeColor="text1"/>
        </w:rPr>
        <w:t>/</w:t>
      </w:r>
      <w:r>
        <w:rPr>
          <w:rFonts w:cs="Times New Roman" w:hint="eastAsia"/>
          <w:bCs/>
          <w:color w:val="000000" w:themeColor="text1"/>
        </w:rPr>
        <w:t>胞内蛋白</w:t>
      </w:r>
      <w:r>
        <w:rPr>
          <w:rFonts w:cs="Times New Roman" w:hint="eastAsia"/>
          <w:bCs/>
          <w:color w:val="000000" w:themeColor="text1"/>
        </w:rPr>
        <w:t>/</w:t>
      </w:r>
      <w:r>
        <w:rPr>
          <w:rFonts w:cs="Times New Roman" w:hint="eastAsia"/>
          <w:bCs/>
          <w:color w:val="000000" w:themeColor="text1"/>
        </w:rPr>
        <w:t>胞膜蛋白</w:t>
      </w:r>
      <w:r>
        <w:rPr>
          <w:rFonts w:cs="Times New Roman" w:hint="eastAsia"/>
          <w:bCs/>
          <w:color w:val="000000" w:themeColor="text1"/>
        </w:rPr>
        <w:t>/</w:t>
      </w:r>
      <w:r>
        <w:rPr>
          <w:rFonts w:cs="Times New Roman" w:hint="eastAsia"/>
          <w:bCs/>
          <w:color w:val="000000" w:themeColor="text1"/>
        </w:rPr>
        <w:t>磷酸化蛋白）按操作说明进行抗体孵育和细胞固定处理等</w:t>
      </w:r>
      <w:r w:rsidRPr="00712091">
        <w:rPr>
          <w:rFonts w:cs="Times New Roman" w:hint="eastAsia"/>
          <w:bCs/>
          <w:color w:val="000000" w:themeColor="text1"/>
        </w:rPr>
        <w:t>。</w:t>
      </w:r>
    </w:p>
    <w:p w14:paraId="7A96E021" w14:textId="77777777" w:rsidR="0000006E" w:rsidRDefault="0000006E" w:rsidP="00D61B8F">
      <w:pPr>
        <w:pStyle w:val="1"/>
        <w:numPr>
          <w:ilvl w:val="0"/>
          <w:numId w:val="5"/>
        </w:numPr>
      </w:pPr>
      <w:r>
        <w:rPr>
          <w:rFonts w:hint="eastAsia"/>
        </w:rPr>
        <w:t>预约</w:t>
      </w:r>
    </w:p>
    <w:p w14:paraId="09214E4C" w14:textId="16B9DAC6" w:rsidR="0000006E" w:rsidRPr="008F1DA3" w:rsidRDefault="0000006E" w:rsidP="00C366EA">
      <w:pPr>
        <w:pStyle w:val="a7"/>
        <w:numPr>
          <w:ilvl w:val="0"/>
          <w:numId w:val="4"/>
        </w:numPr>
        <w:adjustRightInd w:val="0"/>
        <w:snapToGrid w:val="0"/>
        <w:spacing w:line="360" w:lineRule="auto"/>
        <w:ind w:firstLineChars="0"/>
        <w:rPr>
          <w:rFonts w:cs="Times New Roman"/>
          <w:color w:val="000000" w:themeColor="text1"/>
          <w:szCs w:val="28"/>
        </w:rPr>
      </w:pPr>
      <w:r w:rsidRPr="008F1DA3">
        <w:rPr>
          <w:rFonts w:cs="Times New Roman" w:hint="eastAsia"/>
          <w:color w:val="000000" w:themeColor="text1"/>
          <w:szCs w:val="28"/>
        </w:rPr>
        <w:t>仪器放置在</w:t>
      </w:r>
      <w:r w:rsidRPr="008F1DA3">
        <w:rPr>
          <w:rFonts w:cs="Times New Roman" w:hint="eastAsia"/>
          <w:color w:val="000000" w:themeColor="text1"/>
          <w:szCs w:val="28"/>
        </w:rPr>
        <w:t>9</w:t>
      </w:r>
      <w:r w:rsidRPr="008F1DA3">
        <w:rPr>
          <w:rFonts w:cs="Times New Roman" w:hint="eastAsia"/>
          <w:color w:val="000000" w:themeColor="text1"/>
          <w:szCs w:val="28"/>
        </w:rPr>
        <w:t>号楼</w:t>
      </w:r>
      <w:r w:rsidRPr="008F1DA3">
        <w:rPr>
          <w:rFonts w:cs="Times New Roman" w:hint="eastAsia"/>
          <w:color w:val="000000" w:themeColor="text1"/>
          <w:szCs w:val="28"/>
        </w:rPr>
        <w:t>7</w:t>
      </w:r>
      <w:r w:rsidRPr="008F1DA3">
        <w:rPr>
          <w:rFonts w:cs="Times New Roman" w:hint="eastAsia"/>
          <w:color w:val="000000" w:themeColor="text1"/>
          <w:szCs w:val="28"/>
        </w:rPr>
        <w:t>楼，使用前</w:t>
      </w:r>
      <w:r w:rsidR="006307B5">
        <w:rPr>
          <w:rFonts w:cs="Times New Roman" w:hint="eastAsia"/>
          <w:color w:val="000000" w:themeColor="text1"/>
          <w:szCs w:val="28"/>
        </w:rPr>
        <w:t>请准备好相关试剂，并使待测细胞完成上机前染色和处理，并提前</w:t>
      </w:r>
      <w:r w:rsidRPr="008F1DA3">
        <w:rPr>
          <w:rFonts w:cs="Times New Roman" w:hint="eastAsia"/>
          <w:color w:val="000000" w:themeColor="text1"/>
          <w:szCs w:val="28"/>
        </w:rPr>
        <w:t>一周到中心实验室预约使用时段。</w:t>
      </w:r>
    </w:p>
    <w:p w14:paraId="5DC57A45" w14:textId="77777777" w:rsidR="0000006E" w:rsidRPr="00C366EA" w:rsidRDefault="0000006E" w:rsidP="00C366EA">
      <w:pPr>
        <w:pStyle w:val="a7"/>
        <w:numPr>
          <w:ilvl w:val="0"/>
          <w:numId w:val="4"/>
        </w:numPr>
        <w:adjustRightInd w:val="0"/>
        <w:snapToGrid w:val="0"/>
        <w:spacing w:line="360" w:lineRule="auto"/>
        <w:ind w:firstLineChars="0"/>
        <w:rPr>
          <w:rFonts w:cs="Times New Roman"/>
          <w:color w:val="000000" w:themeColor="text1"/>
          <w:szCs w:val="28"/>
        </w:rPr>
      </w:pPr>
      <w:r w:rsidRPr="008F1DA3">
        <w:rPr>
          <w:rFonts w:cs="Times New Roman" w:hint="eastAsia"/>
          <w:color w:val="000000" w:themeColor="text1"/>
          <w:szCs w:val="28"/>
        </w:rPr>
        <w:t>联系人：</w:t>
      </w:r>
      <w:r>
        <w:rPr>
          <w:rFonts w:cs="Times New Roman" w:hint="eastAsia"/>
          <w:color w:val="000000" w:themeColor="text1"/>
          <w:szCs w:val="28"/>
        </w:rPr>
        <w:t>胡浩然</w:t>
      </w:r>
      <w:r w:rsidRPr="008F1DA3">
        <w:rPr>
          <w:rFonts w:cs="Times New Roman"/>
          <w:color w:val="000000" w:themeColor="text1"/>
          <w:szCs w:val="28"/>
        </w:rPr>
        <w:t>1</w:t>
      </w:r>
      <w:r>
        <w:rPr>
          <w:rFonts w:cs="Times New Roman" w:hint="eastAsia"/>
          <w:color w:val="000000" w:themeColor="text1"/>
          <w:szCs w:val="28"/>
        </w:rPr>
        <w:t>8405924134</w:t>
      </w:r>
      <w:r w:rsidRPr="008F1DA3">
        <w:rPr>
          <w:rFonts w:cs="Times New Roman" w:hint="eastAsia"/>
          <w:color w:val="000000" w:themeColor="text1"/>
          <w:szCs w:val="28"/>
        </w:rPr>
        <w:t>，侯迪玉</w:t>
      </w:r>
      <w:r w:rsidRPr="008F1DA3">
        <w:rPr>
          <w:rFonts w:cs="Times New Roman"/>
          <w:color w:val="000000" w:themeColor="text1"/>
          <w:szCs w:val="28"/>
        </w:rPr>
        <w:t>15080319915</w:t>
      </w:r>
      <w:r w:rsidRPr="008F1DA3">
        <w:rPr>
          <w:rFonts w:cs="Times New Roman" w:hint="eastAsia"/>
          <w:color w:val="000000" w:themeColor="text1"/>
          <w:szCs w:val="28"/>
        </w:rPr>
        <w:t>。</w:t>
      </w:r>
    </w:p>
    <w:p w14:paraId="7BF09FE6" w14:textId="77777777" w:rsidR="0000006E" w:rsidRPr="00C366EA" w:rsidRDefault="0000006E" w:rsidP="00C366EA">
      <w:pPr>
        <w:pStyle w:val="1"/>
        <w:numPr>
          <w:ilvl w:val="0"/>
          <w:numId w:val="5"/>
        </w:numPr>
      </w:pPr>
      <w:r>
        <w:rPr>
          <w:rFonts w:hint="eastAsia"/>
        </w:rPr>
        <w:t>参考文献</w:t>
      </w:r>
    </w:p>
    <w:p w14:paraId="59333DE7" w14:textId="77777777" w:rsidR="0000006E" w:rsidRPr="005615C6" w:rsidRDefault="0000006E" w:rsidP="005615C6">
      <w:pPr>
        <w:pStyle w:val="EndNoteBibliography"/>
      </w:pPr>
      <w:r w:rsidRPr="005615C6">
        <w:t>[1]</w:t>
      </w:r>
      <w:r w:rsidRPr="005615C6">
        <w:tab/>
        <w:t>HELMINK B A, REDDY S M, GAO J, et al. B cells and tertiary lymphoid structures promote immunotherapy response [J]. Nature, 2020, 577(7791): 549-55.</w:t>
      </w:r>
    </w:p>
    <w:p w14:paraId="1DDAB0CB" w14:textId="77777777" w:rsidR="0000006E" w:rsidRPr="005615C6" w:rsidRDefault="0000006E" w:rsidP="005615C6">
      <w:pPr>
        <w:pStyle w:val="EndNoteBibliography"/>
      </w:pPr>
      <w:r w:rsidRPr="005615C6">
        <w:t>[2]</w:t>
      </w:r>
      <w:r w:rsidRPr="005615C6">
        <w:tab/>
        <w:t>STEVENS B M, KHAN N, D'ALESSANDRO A, et al. Characterization and targeting of malignant stem cells in patients with advanced myelodysplastic syndromes [J]. Nat Commun, 2018, 9(1): 3694.</w:t>
      </w:r>
    </w:p>
    <w:p w14:paraId="69BD2878" w14:textId="77777777" w:rsidR="0000006E" w:rsidRPr="00FC12BC" w:rsidRDefault="0000006E" w:rsidP="00FC12BC">
      <w:pPr>
        <w:adjustRightInd w:val="0"/>
        <w:snapToGrid w:val="0"/>
        <w:spacing w:line="360" w:lineRule="auto"/>
        <w:ind w:left="560" w:hangingChars="200" w:hanging="560"/>
        <w:rPr>
          <w:rFonts w:cs="Times New Roman"/>
          <w:bCs/>
          <w:color w:val="000000" w:themeColor="text1"/>
        </w:rPr>
      </w:pPr>
    </w:p>
    <w:p w14:paraId="18C683CC" w14:textId="77777777" w:rsidR="00183DDE" w:rsidRDefault="00183DDE">
      <w:pPr>
        <w:ind w:firstLine="480"/>
      </w:pPr>
    </w:p>
    <w:sectPr w:rsidR="00183DDE" w:rsidSect="001B28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0E1EB" w14:textId="77777777" w:rsidR="00DA44EC" w:rsidRDefault="00DA44EC" w:rsidP="00414482">
      <w:pPr>
        <w:spacing w:line="240" w:lineRule="auto"/>
      </w:pPr>
      <w:r>
        <w:separator/>
      </w:r>
    </w:p>
  </w:endnote>
  <w:endnote w:type="continuationSeparator" w:id="0">
    <w:p w14:paraId="4EE18E9B" w14:textId="77777777" w:rsidR="00DA44EC" w:rsidRDefault="00DA44EC" w:rsidP="004144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5CDA0" w14:textId="77777777" w:rsidR="00DA44EC" w:rsidRDefault="00DA44EC" w:rsidP="00414482">
      <w:pPr>
        <w:spacing w:line="240" w:lineRule="auto"/>
      </w:pPr>
      <w:r>
        <w:separator/>
      </w:r>
    </w:p>
  </w:footnote>
  <w:footnote w:type="continuationSeparator" w:id="0">
    <w:p w14:paraId="6D4F546E" w14:textId="77777777" w:rsidR="00DA44EC" w:rsidRDefault="00DA44EC" w:rsidP="004144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11DF9"/>
    <w:multiLevelType w:val="hybridMultilevel"/>
    <w:tmpl w:val="13F87C80"/>
    <w:lvl w:ilvl="0" w:tplc="98905510">
      <w:start w:val="1"/>
      <w:numFmt w:val="decimal"/>
      <w:lvlText w:val="%1."/>
      <w:lvlJc w:val="left"/>
      <w:pPr>
        <w:ind w:left="576" w:hanging="4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01C5AEF"/>
    <w:multiLevelType w:val="hybridMultilevel"/>
    <w:tmpl w:val="31C6F2F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BD7311"/>
    <w:multiLevelType w:val="hybridMultilevel"/>
    <w:tmpl w:val="6CBCF5F0"/>
    <w:lvl w:ilvl="0" w:tplc="98905510">
      <w:start w:val="1"/>
      <w:numFmt w:val="decimal"/>
      <w:lvlText w:val="%1."/>
      <w:lvlJc w:val="left"/>
      <w:pPr>
        <w:ind w:left="576" w:hanging="4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D07B95"/>
    <w:multiLevelType w:val="hybridMultilevel"/>
    <w:tmpl w:val="0B229ABE"/>
    <w:lvl w:ilvl="0" w:tplc="98905510">
      <w:start w:val="1"/>
      <w:numFmt w:val="decimal"/>
      <w:lvlText w:val="%1."/>
      <w:lvlJc w:val="left"/>
      <w:pPr>
        <w:ind w:left="576" w:hanging="492"/>
      </w:pPr>
      <w:rPr>
        <w:rFonts w:hint="default"/>
      </w:rPr>
    </w:lvl>
    <w:lvl w:ilvl="1" w:tplc="04090019" w:tentative="1">
      <w:start w:val="1"/>
      <w:numFmt w:val="lowerLetter"/>
      <w:lvlText w:val="%2)"/>
      <w:lvlJc w:val="left"/>
      <w:pPr>
        <w:ind w:left="924" w:hanging="420"/>
      </w:pPr>
    </w:lvl>
    <w:lvl w:ilvl="2" w:tplc="0409001B" w:tentative="1">
      <w:start w:val="1"/>
      <w:numFmt w:val="lowerRoman"/>
      <w:lvlText w:val="%3."/>
      <w:lvlJc w:val="right"/>
      <w:pPr>
        <w:ind w:left="1344" w:hanging="420"/>
      </w:pPr>
    </w:lvl>
    <w:lvl w:ilvl="3" w:tplc="0409000F" w:tentative="1">
      <w:start w:val="1"/>
      <w:numFmt w:val="decimal"/>
      <w:lvlText w:val="%4."/>
      <w:lvlJc w:val="left"/>
      <w:pPr>
        <w:ind w:left="1764" w:hanging="420"/>
      </w:pPr>
    </w:lvl>
    <w:lvl w:ilvl="4" w:tplc="04090019" w:tentative="1">
      <w:start w:val="1"/>
      <w:numFmt w:val="lowerLetter"/>
      <w:lvlText w:val="%5)"/>
      <w:lvlJc w:val="left"/>
      <w:pPr>
        <w:ind w:left="2184" w:hanging="420"/>
      </w:pPr>
    </w:lvl>
    <w:lvl w:ilvl="5" w:tplc="0409001B" w:tentative="1">
      <w:start w:val="1"/>
      <w:numFmt w:val="lowerRoman"/>
      <w:lvlText w:val="%6."/>
      <w:lvlJc w:val="right"/>
      <w:pPr>
        <w:ind w:left="2604" w:hanging="420"/>
      </w:pPr>
    </w:lvl>
    <w:lvl w:ilvl="6" w:tplc="0409000F" w:tentative="1">
      <w:start w:val="1"/>
      <w:numFmt w:val="decimal"/>
      <w:lvlText w:val="%7."/>
      <w:lvlJc w:val="left"/>
      <w:pPr>
        <w:ind w:left="3024" w:hanging="420"/>
      </w:pPr>
    </w:lvl>
    <w:lvl w:ilvl="7" w:tplc="04090019" w:tentative="1">
      <w:start w:val="1"/>
      <w:numFmt w:val="lowerLetter"/>
      <w:lvlText w:val="%8)"/>
      <w:lvlJc w:val="left"/>
      <w:pPr>
        <w:ind w:left="3444" w:hanging="420"/>
      </w:pPr>
    </w:lvl>
    <w:lvl w:ilvl="8" w:tplc="0409001B" w:tentative="1">
      <w:start w:val="1"/>
      <w:numFmt w:val="lowerRoman"/>
      <w:lvlText w:val="%9."/>
      <w:lvlJc w:val="right"/>
      <w:pPr>
        <w:ind w:left="3864" w:hanging="420"/>
      </w:pPr>
    </w:lvl>
  </w:abstractNum>
  <w:abstractNum w:abstractNumId="4" w15:restartNumberingAfterBreak="0">
    <w:nsid w:val="5E2216AC"/>
    <w:multiLevelType w:val="hybridMultilevel"/>
    <w:tmpl w:val="F5DCB75A"/>
    <w:lvl w:ilvl="0" w:tplc="2DF2EB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EB434C2"/>
    <w:multiLevelType w:val="hybridMultilevel"/>
    <w:tmpl w:val="55262B06"/>
    <w:lvl w:ilvl="0" w:tplc="0409000F">
      <w:start w:val="1"/>
      <w:numFmt w:val="decimal"/>
      <w:lvlText w:val="%1."/>
      <w:lvlJc w:val="left"/>
      <w:pPr>
        <w:ind w:left="504" w:hanging="420"/>
      </w:pPr>
    </w:lvl>
    <w:lvl w:ilvl="1" w:tplc="04090019" w:tentative="1">
      <w:start w:val="1"/>
      <w:numFmt w:val="lowerLetter"/>
      <w:lvlText w:val="%2)"/>
      <w:lvlJc w:val="left"/>
      <w:pPr>
        <w:ind w:left="924" w:hanging="420"/>
      </w:pPr>
    </w:lvl>
    <w:lvl w:ilvl="2" w:tplc="0409001B" w:tentative="1">
      <w:start w:val="1"/>
      <w:numFmt w:val="lowerRoman"/>
      <w:lvlText w:val="%3."/>
      <w:lvlJc w:val="right"/>
      <w:pPr>
        <w:ind w:left="1344" w:hanging="420"/>
      </w:pPr>
    </w:lvl>
    <w:lvl w:ilvl="3" w:tplc="0409000F" w:tentative="1">
      <w:start w:val="1"/>
      <w:numFmt w:val="decimal"/>
      <w:lvlText w:val="%4."/>
      <w:lvlJc w:val="left"/>
      <w:pPr>
        <w:ind w:left="1764" w:hanging="420"/>
      </w:pPr>
    </w:lvl>
    <w:lvl w:ilvl="4" w:tplc="04090019" w:tentative="1">
      <w:start w:val="1"/>
      <w:numFmt w:val="lowerLetter"/>
      <w:lvlText w:val="%5)"/>
      <w:lvlJc w:val="left"/>
      <w:pPr>
        <w:ind w:left="2184" w:hanging="420"/>
      </w:pPr>
    </w:lvl>
    <w:lvl w:ilvl="5" w:tplc="0409001B" w:tentative="1">
      <w:start w:val="1"/>
      <w:numFmt w:val="lowerRoman"/>
      <w:lvlText w:val="%6."/>
      <w:lvlJc w:val="right"/>
      <w:pPr>
        <w:ind w:left="2604" w:hanging="420"/>
      </w:pPr>
    </w:lvl>
    <w:lvl w:ilvl="6" w:tplc="0409000F" w:tentative="1">
      <w:start w:val="1"/>
      <w:numFmt w:val="decimal"/>
      <w:lvlText w:val="%7."/>
      <w:lvlJc w:val="left"/>
      <w:pPr>
        <w:ind w:left="3024" w:hanging="420"/>
      </w:pPr>
    </w:lvl>
    <w:lvl w:ilvl="7" w:tplc="04090019" w:tentative="1">
      <w:start w:val="1"/>
      <w:numFmt w:val="lowerLetter"/>
      <w:lvlText w:val="%8)"/>
      <w:lvlJc w:val="left"/>
      <w:pPr>
        <w:ind w:left="3444" w:hanging="420"/>
      </w:pPr>
    </w:lvl>
    <w:lvl w:ilvl="8" w:tplc="0409001B" w:tentative="1">
      <w:start w:val="1"/>
      <w:numFmt w:val="lowerRoman"/>
      <w:lvlText w:val="%9."/>
      <w:lvlJc w:val="right"/>
      <w:pPr>
        <w:ind w:left="3864" w:hanging="420"/>
      </w:pPr>
    </w:lvl>
  </w:abstractNum>
  <w:abstractNum w:abstractNumId="6" w15:restartNumberingAfterBreak="0">
    <w:nsid w:val="7ADD4C0E"/>
    <w:multiLevelType w:val="hybridMultilevel"/>
    <w:tmpl w:val="9A706450"/>
    <w:lvl w:ilvl="0" w:tplc="47BC7CC2">
      <w:start w:val="1"/>
      <w:numFmt w:val="japaneseCounting"/>
      <w:lvlText w:val="%1、"/>
      <w:lvlJc w:val="left"/>
      <w:pPr>
        <w:ind w:left="720" w:hanging="720"/>
      </w:pPr>
      <w:rPr>
        <w:rFonts w:hint="default"/>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0"/>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0006E"/>
    <w:rsid w:val="0000006E"/>
    <w:rsid w:val="00042824"/>
    <w:rsid w:val="00183DDE"/>
    <w:rsid w:val="00414482"/>
    <w:rsid w:val="006307B5"/>
    <w:rsid w:val="006601DC"/>
    <w:rsid w:val="00DA44EC"/>
    <w:rsid w:val="00DF60BF"/>
    <w:rsid w:val="00F4649F"/>
    <w:rsid w:val="00F54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198B5"/>
  <w15:chartTrackingRefBased/>
  <w15:docId w15:val="{7E8913D3-B789-485C-B36C-E21AA4D8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heme="majorBidi"/>
        <w:kern w:val="44"/>
        <w:sz w:val="24"/>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006E"/>
    <w:pPr>
      <w:widowControl w:val="0"/>
      <w:spacing w:line="500" w:lineRule="exact"/>
      <w:jc w:val="both"/>
    </w:pPr>
    <w:rPr>
      <w:rFonts w:cstheme="minorBidi"/>
      <w:kern w:val="2"/>
      <w:sz w:val="28"/>
      <w:szCs w:val="22"/>
    </w:rPr>
  </w:style>
  <w:style w:type="paragraph" w:styleId="1">
    <w:name w:val="heading 1"/>
    <w:basedOn w:val="a"/>
    <w:next w:val="a"/>
    <w:link w:val="10"/>
    <w:uiPriority w:val="9"/>
    <w:qFormat/>
    <w:rsid w:val="0000006E"/>
    <w:pPr>
      <w:keepNext/>
      <w:keepLines/>
      <w:spacing w:before="340" w:after="330" w:line="578" w:lineRule="atLeast"/>
      <w:outlineLvl w:val="0"/>
    </w:pPr>
    <w:rPr>
      <w:b/>
      <w:bCs/>
      <w:kern w:val="44"/>
      <w:sz w:val="30"/>
      <w:szCs w:val="44"/>
    </w:rPr>
  </w:style>
  <w:style w:type="paragraph" w:styleId="3">
    <w:name w:val="heading 3"/>
    <w:basedOn w:val="a"/>
    <w:next w:val="a"/>
    <w:link w:val="30"/>
    <w:uiPriority w:val="9"/>
    <w:unhideWhenUsed/>
    <w:qFormat/>
    <w:rsid w:val="006601DC"/>
    <w:pPr>
      <w:keepNext/>
      <w:keepLines/>
      <w:spacing w:before="260" w:after="260" w:line="360" w:lineRule="auto"/>
      <w:ind w:firstLineChars="100" w:firstLine="100"/>
      <w:outlineLvl w:val="2"/>
    </w:pPr>
    <w:rPr>
      <w:bCs/>
    </w:rPr>
  </w:style>
  <w:style w:type="paragraph" w:styleId="4">
    <w:name w:val="heading 4"/>
    <w:basedOn w:val="a"/>
    <w:next w:val="a"/>
    <w:link w:val="40"/>
    <w:uiPriority w:val="9"/>
    <w:unhideWhenUsed/>
    <w:qFormat/>
    <w:rsid w:val="00DF60BF"/>
    <w:pPr>
      <w:keepNext/>
      <w:keepLines/>
      <w:spacing w:before="280" w:after="290" w:line="360" w:lineRule="auto"/>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6601DC"/>
    <w:rPr>
      <w:bCs/>
      <w:sz w:val="28"/>
    </w:rPr>
  </w:style>
  <w:style w:type="character" w:customStyle="1" w:styleId="40">
    <w:name w:val="标题 4 字符"/>
    <w:basedOn w:val="a0"/>
    <w:link w:val="4"/>
    <w:uiPriority w:val="9"/>
    <w:rsid w:val="00DF60BF"/>
    <w:rPr>
      <w:b/>
      <w:bCs/>
      <w:szCs w:val="28"/>
    </w:rPr>
  </w:style>
  <w:style w:type="character" w:customStyle="1" w:styleId="10">
    <w:name w:val="标题 1 字符"/>
    <w:basedOn w:val="a0"/>
    <w:link w:val="1"/>
    <w:uiPriority w:val="9"/>
    <w:rsid w:val="0000006E"/>
    <w:rPr>
      <w:rFonts w:cstheme="minorBidi"/>
      <w:b/>
      <w:bCs/>
      <w:sz w:val="30"/>
      <w:szCs w:val="44"/>
    </w:rPr>
  </w:style>
  <w:style w:type="paragraph" w:styleId="a3">
    <w:name w:val="header"/>
    <w:basedOn w:val="a"/>
    <w:link w:val="a4"/>
    <w:uiPriority w:val="99"/>
    <w:unhideWhenUsed/>
    <w:rsid w:val="0000006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006E"/>
    <w:rPr>
      <w:rFonts w:cstheme="minorBidi"/>
      <w:kern w:val="2"/>
      <w:sz w:val="18"/>
      <w:szCs w:val="18"/>
    </w:rPr>
  </w:style>
  <w:style w:type="paragraph" w:styleId="a5">
    <w:name w:val="footer"/>
    <w:basedOn w:val="a"/>
    <w:link w:val="a6"/>
    <w:uiPriority w:val="99"/>
    <w:unhideWhenUsed/>
    <w:rsid w:val="0000006E"/>
    <w:pPr>
      <w:tabs>
        <w:tab w:val="center" w:pos="4153"/>
        <w:tab w:val="right" w:pos="8306"/>
      </w:tabs>
      <w:snapToGrid w:val="0"/>
      <w:jc w:val="left"/>
    </w:pPr>
    <w:rPr>
      <w:sz w:val="18"/>
      <w:szCs w:val="18"/>
    </w:rPr>
  </w:style>
  <w:style w:type="character" w:customStyle="1" w:styleId="a6">
    <w:name w:val="页脚 字符"/>
    <w:basedOn w:val="a0"/>
    <w:link w:val="a5"/>
    <w:uiPriority w:val="99"/>
    <w:rsid w:val="0000006E"/>
    <w:rPr>
      <w:rFonts w:cstheme="minorBidi"/>
      <w:kern w:val="2"/>
      <w:sz w:val="18"/>
      <w:szCs w:val="18"/>
    </w:rPr>
  </w:style>
  <w:style w:type="paragraph" w:styleId="a7">
    <w:name w:val="List Paragraph"/>
    <w:basedOn w:val="a"/>
    <w:uiPriority w:val="34"/>
    <w:qFormat/>
    <w:rsid w:val="0000006E"/>
    <w:pPr>
      <w:ind w:firstLineChars="200" w:firstLine="420"/>
    </w:pPr>
  </w:style>
  <w:style w:type="paragraph" w:styleId="a8">
    <w:name w:val="Title"/>
    <w:basedOn w:val="a"/>
    <w:next w:val="a"/>
    <w:link w:val="a9"/>
    <w:uiPriority w:val="10"/>
    <w:qFormat/>
    <w:rsid w:val="0000006E"/>
    <w:pPr>
      <w:spacing w:before="240" w:after="60"/>
      <w:jc w:val="center"/>
      <w:outlineLvl w:val="0"/>
    </w:pPr>
    <w:rPr>
      <w:rFonts w:cstheme="majorBidi"/>
      <w:b/>
      <w:bCs/>
      <w:sz w:val="32"/>
      <w:szCs w:val="32"/>
    </w:rPr>
  </w:style>
  <w:style w:type="character" w:customStyle="1" w:styleId="a9">
    <w:name w:val="标题 字符"/>
    <w:basedOn w:val="a0"/>
    <w:link w:val="a8"/>
    <w:uiPriority w:val="10"/>
    <w:rsid w:val="0000006E"/>
    <w:rPr>
      <w:b/>
      <w:bCs/>
      <w:kern w:val="2"/>
      <w:sz w:val="32"/>
      <w:szCs w:val="32"/>
    </w:rPr>
  </w:style>
  <w:style w:type="character" w:styleId="aa">
    <w:name w:val="Subtle Emphasis"/>
    <w:basedOn w:val="a0"/>
    <w:uiPriority w:val="19"/>
    <w:qFormat/>
    <w:rsid w:val="0000006E"/>
    <w:rPr>
      <w:i/>
      <w:iCs/>
      <w:color w:val="404040" w:themeColor="text1" w:themeTint="BF"/>
    </w:rPr>
  </w:style>
  <w:style w:type="paragraph" w:customStyle="1" w:styleId="EndNoteBibliographyTitle">
    <w:name w:val="EndNote Bibliography Title"/>
    <w:basedOn w:val="a"/>
    <w:link w:val="EndNoteBibliographyTitle0"/>
    <w:rsid w:val="0000006E"/>
    <w:pPr>
      <w:jc w:val="center"/>
    </w:pPr>
    <w:rPr>
      <w:rFonts w:cs="Times New Roman"/>
      <w:noProof/>
    </w:rPr>
  </w:style>
  <w:style w:type="character" w:customStyle="1" w:styleId="EndNoteBibliographyTitle0">
    <w:name w:val="EndNote Bibliography Title 字符"/>
    <w:basedOn w:val="a0"/>
    <w:link w:val="EndNoteBibliographyTitle"/>
    <w:rsid w:val="0000006E"/>
    <w:rPr>
      <w:rFonts w:cs="Times New Roman"/>
      <w:noProof/>
      <w:kern w:val="2"/>
      <w:sz w:val="28"/>
      <w:szCs w:val="22"/>
    </w:rPr>
  </w:style>
  <w:style w:type="paragraph" w:customStyle="1" w:styleId="EndNoteBibliography">
    <w:name w:val="EndNote Bibliography"/>
    <w:basedOn w:val="a"/>
    <w:link w:val="EndNoteBibliography0"/>
    <w:rsid w:val="0000006E"/>
    <w:pPr>
      <w:spacing w:line="240" w:lineRule="exact"/>
    </w:pPr>
    <w:rPr>
      <w:rFonts w:cs="Times New Roman"/>
      <w:noProof/>
    </w:rPr>
  </w:style>
  <w:style w:type="character" w:customStyle="1" w:styleId="EndNoteBibliography0">
    <w:name w:val="EndNote Bibliography 字符"/>
    <w:basedOn w:val="a0"/>
    <w:link w:val="EndNoteBibliography"/>
    <w:rsid w:val="0000006E"/>
    <w:rPr>
      <w:rFonts w:cs="Times New Roman"/>
      <w:noProof/>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261</Words>
  <Characters>1493</Characters>
  <Application>Microsoft Office Word</Application>
  <DocSecurity>0</DocSecurity>
  <Lines>12</Lines>
  <Paragraphs>3</Paragraphs>
  <ScaleCrop>false</ScaleCrop>
  <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浩然</dc:creator>
  <cp:keywords/>
  <dc:description/>
  <cp:lastModifiedBy>胡 浩然</cp:lastModifiedBy>
  <cp:revision>5</cp:revision>
  <dcterms:created xsi:type="dcterms:W3CDTF">2020-12-11T03:10:00Z</dcterms:created>
  <dcterms:modified xsi:type="dcterms:W3CDTF">2020-12-15T03:21:00Z</dcterms:modified>
</cp:coreProperties>
</file>